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0A2" w:rsidRPr="00B810A2" w:rsidRDefault="00B810A2" w:rsidP="00B810A2">
      <w:pPr>
        <w:bidi/>
        <w:spacing w:line="360" w:lineRule="auto"/>
        <w:ind w:right="-992"/>
        <w:rPr>
          <w:rFonts w:cs="David"/>
          <w:sz w:val="24"/>
          <w:szCs w:val="24"/>
          <w:u w:val="single"/>
          <w:rtl/>
        </w:rPr>
      </w:pPr>
      <w:r w:rsidRPr="00B810A2">
        <w:rPr>
          <w:rFonts w:cs="David" w:hint="cs"/>
          <w:sz w:val="24"/>
          <w:szCs w:val="24"/>
          <w:u w:val="single"/>
          <w:rtl/>
        </w:rPr>
        <w:t>מערך שיעור "למגש הכסף" / נתן אלתרמן</w:t>
      </w:r>
    </w:p>
    <w:p w:rsidR="00B810A2" w:rsidRPr="00B810A2" w:rsidRDefault="00B810A2" w:rsidP="00B810A2">
      <w:pPr>
        <w:bidi/>
        <w:spacing w:line="360" w:lineRule="auto"/>
        <w:ind w:right="-992"/>
        <w:rPr>
          <w:rFonts w:cs="David"/>
          <w:sz w:val="24"/>
          <w:szCs w:val="24"/>
          <w:rtl/>
        </w:rPr>
      </w:pPr>
      <w:r w:rsidRPr="00B810A2">
        <w:rPr>
          <w:rFonts w:cs="David" w:hint="cs"/>
          <w:sz w:val="24"/>
          <w:szCs w:val="24"/>
          <w:rtl/>
        </w:rPr>
        <w:t>מהי הסיטואציה המתוארת בשיר?</w:t>
      </w:r>
    </w:p>
    <w:p w:rsidR="00B810A2" w:rsidRPr="00B810A2" w:rsidRDefault="00B810A2" w:rsidP="00B810A2">
      <w:pPr>
        <w:bidi/>
        <w:spacing w:line="360" w:lineRule="auto"/>
        <w:ind w:right="-992"/>
        <w:rPr>
          <w:rFonts w:cs="David"/>
          <w:sz w:val="24"/>
          <w:szCs w:val="24"/>
          <w:rtl/>
        </w:rPr>
      </w:pPr>
      <w:r w:rsidRPr="00B810A2">
        <w:rPr>
          <w:rFonts w:cs="David" w:hint="cs"/>
          <w:sz w:val="24"/>
          <w:szCs w:val="24"/>
          <w:rtl/>
        </w:rPr>
        <w:t xml:space="preserve">הסבירו את הביטוי "מגש הכסף" </w:t>
      </w:r>
    </w:p>
    <w:p w:rsidR="00B810A2" w:rsidRPr="00B810A2" w:rsidRDefault="00B810A2" w:rsidP="00B810A2">
      <w:pPr>
        <w:bidi/>
        <w:spacing w:line="360" w:lineRule="auto"/>
        <w:ind w:right="-992"/>
        <w:rPr>
          <w:rFonts w:cs="David"/>
          <w:sz w:val="24"/>
          <w:szCs w:val="24"/>
          <w:rtl/>
        </w:rPr>
      </w:pPr>
      <w:r w:rsidRPr="00B810A2">
        <w:rPr>
          <w:rFonts w:cs="David" w:hint="cs"/>
          <w:sz w:val="24"/>
          <w:szCs w:val="24"/>
          <w:rtl/>
        </w:rPr>
        <w:t>מה הניגודים בשיר ומה משמעותם?</w:t>
      </w:r>
    </w:p>
    <w:p w:rsidR="00B810A2" w:rsidRPr="00B810A2" w:rsidRDefault="00B810A2" w:rsidP="00B810A2">
      <w:pPr>
        <w:keepNext/>
        <w:keepLines/>
        <w:bidi/>
        <w:spacing w:before="200" w:after="0" w:line="240" w:lineRule="auto"/>
        <w:outlineLvl w:val="1"/>
        <w:rPr>
          <w:rFonts w:asciiTheme="majorHAnsi" w:eastAsiaTheme="majorEastAsia" w:hAnsiTheme="majorHAnsi" w:cs="David"/>
          <w:sz w:val="24"/>
          <w:szCs w:val="24"/>
          <w:rtl/>
        </w:rPr>
      </w:pPr>
      <w:r w:rsidRPr="00B810A2">
        <w:rPr>
          <w:rFonts w:asciiTheme="majorHAnsi" w:eastAsiaTheme="majorEastAsia" w:hAnsiTheme="majorHAnsi" w:cs="David" w:hint="cs"/>
          <w:sz w:val="24"/>
          <w:szCs w:val="24"/>
          <w:u w:val="single"/>
          <w:rtl/>
        </w:rPr>
        <w:t>פתיחה</w:t>
      </w:r>
      <w:r w:rsidRPr="00B810A2">
        <w:rPr>
          <w:rFonts w:asciiTheme="majorHAnsi" w:eastAsiaTheme="majorEastAsia" w:hAnsiTheme="majorHAnsi" w:cs="David" w:hint="cs"/>
          <w:b/>
          <w:bCs/>
          <w:sz w:val="24"/>
          <w:szCs w:val="24"/>
          <w:rtl/>
        </w:rPr>
        <w:t xml:space="preserve">:                                                                                                                                                                               </w:t>
      </w:r>
    </w:p>
    <w:p w:rsidR="00B810A2" w:rsidRPr="00B810A2" w:rsidRDefault="00B810A2" w:rsidP="00B810A2">
      <w:pPr>
        <w:keepNext/>
        <w:keepLines/>
        <w:bidi/>
        <w:spacing w:before="200" w:after="0" w:line="240" w:lineRule="auto"/>
        <w:outlineLvl w:val="1"/>
        <w:rPr>
          <w:rFonts w:asciiTheme="majorHAnsi" w:eastAsiaTheme="majorEastAsia" w:hAnsiTheme="majorHAnsi" w:cs="David"/>
          <w:sz w:val="24"/>
          <w:szCs w:val="24"/>
          <w:rtl/>
        </w:rPr>
      </w:pPr>
      <w:r w:rsidRPr="00B810A2">
        <w:rPr>
          <w:rFonts w:asciiTheme="majorHAnsi" w:eastAsiaTheme="majorEastAsia" w:hAnsiTheme="majorHAnsi" w:cs="David" w:hint="cs"/>
          <w:sz w:val="24"/>
          <w:szCs w:val="24"/>
          <w:rtl/>
        </w:rPr>
        <w:t xml:space="preserve">#  מה לדעתכם המשמעות של "מגש כסף"?                                                                                         </w:t>
      </w:r>
    </w:p>
    <w:p w:rsidR="00B810A2" w:rsidRPr="00B810A2" w:rsidRDefault="00B810A2" w:rsidP="00B810A2">
      <w:pPr>
        <w:bidi/>
        <w:spacing w:before="100" w:beforeAutospacing="1" w:after="100" w:afterAutospacing="1" w:line="240" w:lineRule="auto"/>
        <w:outlineLvl w:val="1"/>
        <w:rPr>
          <w:rFonts w:ascii="Times New Roman" w:eastAsia="Times New Roman" w:hAnsi="Times New Roman" w:cs="David"/>
          <w:sz w:val="24"/>
          <w:szCs w:val="24"/>
          <w:rtl/>
        </w:rPr>
      </w:pPr>
      <w:r w:rsidRPr="00B810A2">
        <w:rPr>
          <w:rFonts w:cs="David" w:hint="cs"/>
          <w:sz w:val="24"/>
          <w:szCs w:val="24"/>
          <w:rtl/>
        </w:rPr>
        <w:t># המשורר ו</w:t>
      </w:r>
      <w:hyperlink r:id="rId5" w:tooltip="מחזאי" w:history="1">
        <w:r w:rsidRPr="00B810A2">
          <w:rPr>
            <w:rFonts w:cs="David" w:hint="cs"/>
            <w:sz w:val="24"/>
            <w:szCs w:val="24"/>
            <w:rtl/>
          </w:rPr>
          <w:t>מחזאי</w:t>
        </w:r>
      </w:hyperlink>
      <w:r w:rsidRPr="00B810A2">
        <w:rPr>
          <w:rFonts w:cs="David" w:hint="cs"/>
          <w:sz w:val="24"/>
          <w:szCs w:val="24"/>
          <w:rtl/>
        </w:rPr>
        <w:t xml:space="preserve"> נתן אלתרמן ( </w:t>
      </w:r>
      <w:hyperlink r:id="rId6" w:tooltip="1910" w:history="1">
        <w:r w:rsidRPr="00B810A2">
          <w:rPr>
            <w:rFonts w:cs="David" w:hint="cs"/>
            <w:sz w:val="24"/>
            <w:szCs w:val="24"/>
            <w:rtl/>
          </w:rPr>
          <w:t>1910</w:t>
        </w:r>
      </w:hyperlink>
      <w:r w:rsidRPr="00B810A2">
        <w:rPr>
          <w:rFonts w:cs="David" w:hint="cs"/>
          <w:sz w:val="24"/>
          <w:szCs w:val="24"/>
          <w:rtl/>
        </w:rPr>
        <w:t xml:space="preserve"> - </w:t>
      </w:r>
      <w:hyperlink r:id="rId7" w:tooltip="1970" w:history="1">
        <w:r w:rsidRPr="00B810A2">
          <w:rPr>
            <w:rFonts w:cs="David" w:hint="cs"/>
            <w:sz w:val="24"/>
            <w:szCs w:val="24"/>
            <w:rtl/>
          </w:rPr>
          <w:t>1970</w:t>
        </w:r>
      </w:hyperlink>
      <w:r w:rsidRPr="00B810A2">
        <w:rPr>
          <w:rFonts w:cs="David" w:hint="cs"/>
          <w:sz w:val="24"/>
          <w:szCs w:val="24"/>
          <w:rtl/>
        </w:rPr>
        <w:t xml:space="preserve">)  </w:t>
      </w:r>
      <w:r w:rsidRPr="00B810A2">
        <w:rPr>
          <w:rFonts w:ascii="Times New Roman" w:eastAsia="Times New Roman" w:hAnsi="Times New Roman" w:cs="David" w:hint="cs"/>
          <w:sz w:val="24"/>
          <w:szCs w:val="24"/>
          <w:rtl/>
        </w:rPr>
        <w:t>נולד ב</w:t>
      </w:r>
      <w:hyperlink r:id="rId8" w:anchor=".D7.A4.D7.95.D7.9C.D7.99.D7.9F_.D7.94.D7.9E.D7.97.D7.95.D7.9C.D7.A7.D7.AA_.281795.E2.80.931918.29" w:tooltip="היסטוריה של פולין" w:history="1">
        <w:r w:rsidRPr="00B810A2">
          <w:rPr>
            <w:rFonts w:ascii="Times New Roman" w:eastAsia="Times New Roman" w:hAnsi="Times New Roman" w:cs="David" w:hint="cs"/>
            <w:sz w:val="24"/>
            <w:szCs w:val="24"/>
            <w:rtl/>
          </w:rPr>
          <w:t>פולין</w:t>
        </w:r>
      </w:hyperlink>
      <w:r w:rsidRPr="00B810A2">
        <w:rPr>
          <w:rFonts w:ascii="Times New Roman" w:eastAsia="Times New Roman" w:hAnsi="Times New Roman" w:cs="David" w:hint="cs"/>
          <w:sz w:val="24"/>
          <w:szCs w:val="24"/>
          <w:rtl/>
        </w:rPr>
        <w:t xml:space="preserve"> (</w:t>
      </w:r>
      <w:hyperlink r:id="rId9" w:tooltip="ורשה" w:history="1">
        <w:r w:rsidRPr="00B810A2">
          <w:rPr>
            <w:rFonts w:ascii="Times New Roman" w:eastAsia="Times New Roman" w:hAnsi="Times New Roman" w:cs="David" w:hint="cs"/>
            <w:sz w:val="24"/>
            <w:szCs w:val="24"/>
            <w:rtl/>
          </w:rPr>
          <w:t>ורשה</w:t>
        </w:r>
      </w:hyperlink>
      <w:r w:rsidRPr="00B810A2">
        <w:rPr>
          <w:rFonts w:ascii="Times New Roman" w:eastAsia="Times New Roman" w:hAnsi="Times New Roman" w:cs="David" w:hint="cs"/>
          <w:sz w:val="24"/>
          <w:szCs w:val="24"/>
          <w:rtl/>
        </w:rPr>
        <w:t xml:space="preserve"> ) שם למד ב</w:t>
      </w:r>
      <w:hyperlink r:id="rId10" w:tooltip="הגימנסיה העברית (כללי) (הדף אינו קיים)" w:history="1">
        <w:r w:rsidRPr="00B810A2">
          <w:rPr>
            <w:rFonts w:ascii="Times New Roman" w:eastAsia="Times New Roman" w:hAnsi="Times New Roman" w:cs="David" w:hint="cs"/>
            <w:sz w:val="24"/>
            <w:szCs w:val="24"/>
            <w:rtl/>
          </w:rPr>
          <w:t>גימנסיה העברית</w:t>
        </w:r>
      </w:hyperlink>
      <w:r w:rsidRPr="00B810A2">
        <w:rPr>
          <w:rFonts w:ascii="Times New Roman" w:eastAsia="Times New Roman" w:hAnsi="Times New Roman" w:cs="David" w:hint="cs"/>
          <w:sz w:val="24"/>
          <w:szCs w:val="24"/>
          <w:rtl/>
        </w:rPr>
        <w:t xml:space="preserve"> והחל לכתוב שירים. בהיותו בן 15, </w:t>
      </w:r>
      <w:hyperlink r:id="rId11" w:tooltip="העלייה הרביעית" w:history="1">
        <w:r w:rsidRPr="00B810A2">
          <w:rPr>
            <w:rFonts w:ascii="Times New Roman" w:eastAsia="Times New Roman" w:hAnsi="Times New Roman" w:cs="David" w:hint="cs"/>
            <w:sz w:val="24"/>
            <w:szCs w:val="24"/>
            <w:rtl/>
          </w:rPr>
          <w:t>עלה</w:t>
        </w:r>
      </w:hyperlink>
      <w:r w:rsidRPr="00B810A2">
        <w:rPr>
          <w:rFonts w:ascii="Times New Roman" w:eastAsia="Times New Roman" w:hAnsi="Times New Roman" w:cs="David" w:hint="cs"/>
          <w:sz w:val="24"/>
          <w:szCs w:val="24"/>
          <w:rtl/>
        </w:rPr>
        <w:t xml:space="preserve"> עם משפחתו ל</w:t>
      </w:r>
      <w:hyperlink r:id="rId12" w:tooltip="המנדט הבריטי" w:history="1">
        <w:r w:rsidRPr="00B810A2">
          <w:rPr>
            <w:rFonts w:ascii="Times New Roman" w:eastAsia="Times New Roman" w:hAnsi="Times New Roman" w:cs="David" w:hint="cs"/>
            <w:sz w:val="24"/>
            <w:szCs w:val="24"/>
            <w:rtl/>
          </w:rPr>
          <w:t>ארץ ישראל</w:t>
        </w:r>
      </w:hyperlink>
      <w:r w:rsidRPr="00B810A2">
        <w:rPr>
          <w:rFonts w:ascii="Times New Roman" w:eastAsia="Times New Roman" w:hAnsi="Times New Roman" w:cs="David" w:hint="cs"/>
          <w:sz w:val="24"/>
          <w:szCs w:val="24"/>
          <w:rtl/>
        </w:rPr>
        <w:t>. המשפחה התיישבה ב</w:t>
      </w:r>
      <w:hyperlink r:id="rId13" w:tooltip="תל אביב" w:history="1">
        <w:r w:rsidRPr="00B810A2">
          <w:rPr>
            <w:rFonts w:ascii="Times New Roman" w:eastAsia="Times New Roman" w:hAnsi="Times New Roman" w:cs="David" w:hint="cs"/>
            <w:sz w:val="24"/>
            <w:szCs w:val="24"/>
            <w:rtl/>
          </w:rPr>
          <w:t>תל אביב</w:t>
        </w:r>
      </w:hyperlink>
      <w:r w:rsidRPr="00B810A2">
        <w:rPr>
          <w:rFonts w:ascii="Times New Roman" w:eastAsia="Times New Roman" w:hAnsi="Times New Roman" w:cs="David" w:hint="cs"/>
          <w:sz w:val="24"/>
          <w:szCs w:val="24"/>
          <w:rtl/>
        </w:rPr>
        <w:t>, ולמד ב</w:t>
      </w:r>
      <w:hyperlink r:id="rId14" w:tooltip="גימנסיה הרצליה" w:history="1">
        <w:r w:rsidRPr="00B810A2">
          <w:rPr>
            <w:rFonts w:ascii="Times New Roman" w:eastAsia="Times New Roman" w:hAnsi="Times New Roman" w:cs="David" w:hint="cs"/>
            <w:sz w:val="24"/>
            <w:szCs w:val="24"/>
            <w:rtl/>
          </w:rPr>
          <w:t>גימנסיה הרצליה</w:t>
        </w:r>
      </w:hyperlink>
      <w:r w:rsidRPr="00B810A2">
        <w:rPr>
          <w:rFonts w:ascii="Times New Roman" w:eastAsia="Times New Roman" w:hAnsi="Times New Roman" w:cs="David" w:hint="cs"/>
          <w:sz w:val="24"/>
          <w:szCs w:val="24"/>
          <w:rtl/>
        </w:rPr>
        <w:t>. בהיותו בן 19 יצא ל</w:t>
      </w:r>
      <w:hyperlink r:id="rId15" w:tooltip="הרפובליקה השלישית" w:history="1">
        <w:r w:rsidRPr="00B810A2">
          <w:rPr>
            <w:rFonts w:ascii="Times New Roman" w:eastAsia="Times New Roman" w:hAnsi="Times New Roman" w:cs="David" w:hint="cs"/>
            <w:sz w:val="24"/>
            <w:szCs w:val="24"/>
            <w:rtl/>
          </w:rPr>
          <w:t>צרפת</w:t>
        </w:r>
      </w:hyperlink>
      <w:r w:rsidRPr="00B810A2">
        <w:rPr>
          <w:rFonts w:ascii="Times New Roman" w:eastAsia="Times New Roman" w:hAnsi="Times New Roman" w:cs="David" w:hint="cs"/>
          <w:sz w:val="24"/>
          <w:szCs w:val="24"/>
          <w:rtl/>
        </w:rPr>
        <w:t xml:space="preserve"> והשתלם כ</w:t>
      </w:r>
      <w:hyperlink r:id="rId16" w:tooltip="אגרונום" w:history="1">
        <w:r w:rsidRPr="00B810A2">
          <w:rPr>
            <w:rFonts w:ascii="Times New Roman" w:eastAsia="Times New Roman" w:hAnsi="Times New Roman" w:cs="David" w:hint="cs"/>
            <w:sz w:val="24"/>
            <w:szCs w:val="24"/>
            <w:rtl/>
          </w:rPr>
          <w:t>אגרונום</w:t>
        </w:r>
      </w:hyperlink>
      <w:r w:rsidRPr="00B810A2">
        <w:rPr>
          <w:rFonts w:ascii="Times New Roman" w:eastAsia="Times New Roman" w:hAnsi="Times New Roman" w:cs="David" w:hint="cs"/>
          <w:sz w:val="24"/>
          <w:szCs w:val="24"/>
          <w:rtl/>
        </w:rPr>
        <w:t xml:space="preserve">. </w:t>
      </w:r>
      <w:r w:rsidRPr="00B810A2">
        <w:rPr>
          <w:rFonts w:ascii="Arial (Hebrew)" w:hAnsi="Arial (Hebrew)" w:cs="David"/>
          <w:sz w:val="24"/>
          <w:szCs w:val="24"/>
          <w:rtl/>
        </w:rPr>
        <w:t xml:space="preserve">אך כשחזר לארץ לא עסק במקצועו, אלא עבד כמתרגם </w:t>
      </w:r>
      <w:r w:rsidRPr="00B810A2">
        <w:rPr>
          <w:rFonts w:ascii="Arial (Hebrew)" w:hAnsi="Arial (Hebrew)" w:cs="David" w:hint="cs"/>
          <w:sz w:val="24"/>
          <w:szCs w:val="24"/>
          <w:rtl/>
        </w:rPr>
        <w:t>בעיתוני</w:t>
      </w:r>
      <w:r w:rsidRPr="00B810A2">
        <w:rPr>
          <w:rFonts w:ascii="Arial (Hebrew)" w:hAnsi="Arial (Hebrew)" w:cs="David" w:hint="eastAsia"/>
          <w:sz w:val="24"/>
          <w:szCs w:val="24"/>
          <w:rtl/>
        </w:rPr>
        <w:t>ם</w:t>
      </w:r>
      <w:r w:rsidRPr="00B810A2">
        <w:rPr>
          <w:rFonts w:ascii="Arial (Hebrew)" w:hAnsi="Arial (Hebrew)" w:cs="David"/>
          <w:sz w:val="24"/>
          <w:szCs w:val="24"/>
          <w:rtl/>
        </w:rPr>
        <w:t>.</w:t>
      </w:r>
      <w:r w:rsidRPr="00B810A2">
        <w:rPr>
          <w:rFonts w:ascii="Arial (Hebrew)" w:hAnsi="Arial (Hebrew)" w:cs="David"/>
          <w:sz w:val="24"/>
          <w:szCs w:val="24"/>
        </w:rPr>
        <w:t xml:space="preserve"> </w:t>
      </w:r>
      <w:r w:rsidRPr="00B810A2">
        <w:rPr>
          <w:rFonts w:ascii="Arial (Hebrew)" w:hAnsi="Arial (Hebrew)" w:cs="David"/>
          <w:sz w:val="24"/>
          <w:szCs w:val="24"/>
          <w:rtl/>
        </w:rPr>
        <w:t>נתן אלתרמן כתב שני סוגי שירה: שירה פוליטית, שפורסמה בע</w:t>
      </w:r>
      <w:r w:rsidRPr="00B810A2">
        <w:rPr>
          <w:rFonts w:ascii="Arial (Hebrew)" w:hAnsi="Arial (Hebrew)" w:cs="David" w:hint="cs"/>
          <w:sz w:val="24"/>
          <w:szCs w:val="24"/>
          <w:rtl/>
        </w:rPr>
        <w:t>י</w:t>
      </w:r>
      <w:r w:rsidRPr="00B810A2">
        <w:rPr>
          <w:rFonts w:ascii="Arial (Hebrew)" w:hAnsi="Arial (Hebrew)" w:cs="David"/>
          <w:sz w:val="24"/>
          <w:szCs w:val="24"/>
          <w:rtl/>
        </w:rPr>
        <w:t>תונים</w:t>
      </w:r>
      <w:r w:rsidRPr="00B810A2">
        <w:rPr>
          <w:rFonts w:ascii="Times New Roman" w:eastAsia="Times New Roman" w:hAnsi="Times New Roman" w:cs="David" w:hint="cs"/>
          <w:sz w:val="24"/>
          <w:szCs w:val="24"/>
          <w:rtl/>
        </w:rPr>
        <w:t xml:space="preserve">, </w:t>
      </w:r>
      <w:r w:rsidRPr="00B810A2">
        <w:rPr>
          <w:rFonts w:ascii="Arial (Hebrew)" w:hAnsi="Arial (Hebrew)" w:cs="David"/>
          <w:sz w:val="24"/>
          <w:szCs w:val="24"/>
          <w:rtl/>
        </w:rPr>
        <w:t>ושירה לירית והגותית שפורסמה בספרים</w:t>
      </w:r>
      <w:r w:rsidRPr="00B810A2">
        <w:rPr>
          <w:rFonts w:ascii="Arial" w:hAnsi="Arial" w:cs="David" w:hint="cs"/>
          <w:sz w:val="24"/>
          <w:szCs w:val="24"/>
          <w:rtl/>
        </w:rPr>
        <w:t xml:space="preserve">. </w:t>
      </w:r>
      <w:r w:rsidRPr="00B810A2">
        <w:rPr>
          <w:rFonts w:ascii="Arial" w:hAnsi="Arial" w:cs="David"/>
          <w:sz w:val="24"/>
          <w:szCs w:val="24"/>
          <w:rtl/>
        </w:rPr>
        <w:t>אלתרמן הצטיין ביכולתו לכתוב על תופעות חברתיות ומדיניות ועל ההווי היום-יומי שלנו בהומור דק וקולע, לפעמים בעוקצנות</w:t>
      </w:r>
      <w:r w:rsidRPr="00B810A2">
        <w:rPr>
          <w:rFonts w:ascii="Arial (Hebrew)" w:hAnsi="Arial (Hebrew)" w:cs="David" w:hint="cs"/>
          <w:sz w:val="24"/>
          <w:szCs w:val="24"/>
          <w:rtl/>
        </w:rPr>
        <w:t xml:space="preserve">. </w:t>
      </w:r>
      <w:r w:rsidRPr="00B810A2">
        <w:rPr>
          <w:rFonts w:ascii="Arial (Hebrew)" w:hAnsi="Arial (Hebrew)" w:cs="David"/>
          <w:sz w:val="24"/>
          <w:szCs w:val="24"/>
          <w:rtl/>
        </w:rPr>
        <w:t>שיריו של אלתרמן נכתבו בשפה עשירה וציורית,</w:t>
      </w:r>
      <w:r w:rsidRPr="00B810A2">
        <w:rPr>
          <w:rFonts w:ascii="Arial" w:hAnsi="Arial" w:cs="David"/>
          <w:sz w:val="24"/>
          <w:szCs w:val="24"/>
          <w:rtl/>
        </w:rPr>
        <w:t>.</w:t>
      </w:r>
      <w:r w:rsidRPr="00B810A2">
        <w:rPr>
          <w:rFonts w:ascii="Times New Roman" w:eastAsia="Times New Roman" w:hAnsi="Times New Roman" w:cs="David" w:hint="cs"/>
          <w:sz w:val="24"/>
          <w:szCs w:val="24"/>
          <w:rtl/>
        </w:rPr>
        <w:t xml:space="preserve"> היה נשוי והיית</w:t>
      </w:r>
      <w:r w:rsidRPr="00B810A2">
        <w:rPr>
          <w:rFonts w:ascii="Times New Roman" w:eastAsia="Times New Roman" w:hAnsi="Times New Roman" w:cs="David" w:hint="eastAsia"/>
          <w:sz w:val="24"/>
          <w:szCs w:val="24"/>
          <w:rtl/>
        </w:rPr>
        <w:t>ה</w:t>
      </w:r>
      <w:r w:rsidRPr="00B810A2">
        <w:rPr>
          <w:rFonts w:ascii="Times New Roman" w:eastAsia="Times New Roman" w:hAnsi="Times New Roman" w:cs="David" w:hint="cs"/>
          <w:sz w:val="24"/>
          <w:szCs w:val="24"/>
          <w:rtl/>
        </w:rPr>
        <w:t xml:space="preserve"> לו בת אחת ב- </w:t>
      </w:r>
      <w:hyperlink r:id="rId17" w:tooltip="1970" w:history="1">
        <w:r w:rsidRPr="00B810A2">
          <w:rPr>
            <w:rFonts w:ascii="Times New Roman" w:eastAsia="Times New Roman" w:hAnsi="Times New Roman" w:cs="David" w:hint="cs"/>
            <w:sz w:val="24"/>
            <w:szCs w:val="24"/>
            <w:rtl/>
          </w:rPr>
          <w:t>1970</w:t>
        </w:r>
      </w:hyperlink>
      <w:r w:rsidRPr="00B810A2">
        <w:rPr>
          <w:rFonts w:ascii="Times New Roman" w:eastAsia="Times New Roman" w:hAnsi="Times New Roman" w:cs="David" w:hint="cs"/>
          <w:sz w:val="24"/>
          <w:szCs w:val="24"/>
          <w:rtl/>
        </w:rPr>
        <w:t xml:space="preserve"> מת. </w:t>
      </w:r>
    </w:p>
    <w:p w:rsidR="00B810A2" w:rsidRPr="00B810A2" w:rsidRDefault="00B810A2" w:rsidP="00B810A2">
      <w:pPr>
        <w:bidi/>
        <w:spacing w:line="360" w:lineRule="auto"/>
        <w:ind w:right="-425"/>
        <w:rPr>
          <w:rFonts w:cs="David"/>
          <w:sz w:val="24"/>
          <w:szCs w:val="24"/>
          <w:rtl/>
        </w:rPr>
      </w:pPr>
      <w:r w:rsidRPr="00B810A2">
        <w:rPr>
          <w:rFonts w:ascii="Times New Roman" w:eastAsia="Times New Roman" w:hAnsi="Times New Roman" w:cs="David" w:hint="cs"/>
          <w:sz w:val="24"/>
          <w:szCs w:val="24"/>
          <w:rtl/>
        </w:rPr>
        <w:t xml:space="preserve">  </w:t>
      </w:r>
      <w:r w:rsidRPr="00B810A2">
        <w:rPr>
          <w:rFonts w:ascii="Arial" w:eastAsia="Times New Roman" w:hAnsi="Arial" w:cs="David" w:hint="cs"/>
          <w:color w:val="000000"/>
          <w:sz w:val="24"/>
          <w:szCs w:val="24"/>
          <w:u w:val="single"/>
          <w:rtl/>
        </w:rPr>
        <w:t>השיעור</w:t>
      </w:r>
      <w:r w:rsidRPr="00B810A2">
        <w:rPr>
          <w:rFonts w:ascii="Arial" w:eastAsia="Times New Roman" w:hAnsi="Arial" w:cs="David" w:hint="cs"/>
          <w:color w:val="000000"/>
          <w:sz w:val="24"/>
          <w:szCs w:val="24"/>
          <w:rtl/>
        </w:rPr>
        <w:t>: המורה קוראת את השיר "</w:t>
      </w:r>
      <w:r w:rsidRPr="00B810A2">
        <w:rPr>
          <w:rFonts w:cs="David" w:hint="cs"/>
          <w:sz w:val="24"/>
          <w:szCs w:val="24"/>
          <w:rtl/>
        </w:rPr>
        <w:t>מגש הכסף</w:t>
      </w:r>
      <w:r w:rsidRPr="00B810A2">
        <w:rPr>
          <w:rFonts w:ascii="Arial" w:eastAsia="Times New Roman" w:hAnsi="Arial" w:cs="David" w:hint="cs"/>
          <w:color w:val="000000"/>
          <w:sz w:val="24"/>
          <w:szCs w:val="24"/>
          <w:rtl/>
        </w:rPr>
        <w:t>" (המוצג במצגת)</w:t>
      </w:r>
      <w:r w:rsidRPr="00B810A2">
        <w:rPr>
          <w:rFonts w:cs="David" w:hint="cs"/>
          <w:sz w:val="24"/>
          <w:szCs w:val="24"/>
          <w:rtl/>
        </w:rPr>
        <w:t xml:space="preserve"> / דודו אלהרר קורא את השיר.  </w:t>
      </w:r>
      <w:r w:rsidRPr="00B810A2">
        <w:rPr>
          <w:rFonts w:cs="David" w:hint="cs"/>
          <w:sz w:val="24"/>
          <w:szCs w:val="24"/>
          <w:u w:val="single"/>
          <w:rtl/>
        </w:rPr>
        <w:t xml:space="preserve"> </w:t>
      </w:r>
      <w:r w:rsidRPr="00B810A2">
        <w:rPr>
          <w:rFonts w:cs="David" w:hint="cs"/>
          <w:sz w:val="24"/>
          <w:szCs w:val="24"/>
          <w:rtl/>
        </w:rPr>
        <w:t xml:space="preserve">  </w:t>
      </w:r>
    </w:p>
    <w:p w:rsidR="00B810A2" w:rsidRDefault="00B810A2" w:rsidP="00B810A2">
      <w:pPr>
        <w:bidi/>
        <w:spacing w:line="360" w:lineRule="auto"/>
        <w:ind w:right="-425"/>
        <w:rPr>
          <w:rFonts w:cs="David" w:hint="cs"/>
          <w:sz w:val="24"/>
          <w:szCs w:val="24"/>
          <w:rtl/>
        </w:rPr>
      </w:pPr>
      <w:r w:rsidRPr="00B810A2">
        <w:rPr>
          <w:rFonts w:ascii="Times New Roman" w:eastAsia="Times New Roman" w:hAnsi="Times New Roman" w:cs="David" w:hint="cs"/>
          <w:sz w:val="24"/>
          <w:szCs w:val="24"/>
          <w:u w:val="single"/>
          <w:rtl/>
        </w:rPr>
        <w:t>רקע</w:t>
      </w:r>
      <w:r w:rsidRPr="00B810A2">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 </w:t>
      </w:r>
      <w:bookmarkStart w:id="0" w:name="_GoBack"/>
      <w:bookmarkEnd w:id="0"/>
      <w:r w:rsidRPr="00B810A2">
        <w:rPr>
          <w:rFonts w:ascii="Times New Roman" w:eastAsia="Times New Roman" w:hAnsi="Times New Roman" w:cs="David" w:hint="cs"/>
          <w:sz w:val="24"/>
          <w:szCs w:val="24"/>
          <w:rtl/>
        </w:rPr>
        <w:t xml:space="preserve">השיר נכתב על ימי המאבק של </w:t>
      </w:r>
      <w:hyperlink r:id="rId18" w:tooltip="היישוב היהודי" w:history="1">
        <w:r w:rsidRPr="00B810A2">
          <w:rPr>
            <w:rFonts w:ascii="Times New Roman" w:eastAsia="Times New Roman" w:hAnsi="Times New Roman" w:cs="David" w:hint="cs"/>
            <w:sz w:val="24"/>
            <w:szCs w:val="24"/>
            <w:rtl/>
          </w:rPr>
          <w:t>היישוב היהודי</w:t>
        </w:r>
      </w:hyperlink>
      <w:r w:rsidRPr="00B810A2">
        <w:rPr>
          <w:rFonts w:ascii="Times New Roman" w:eastAsia="Times New Roman" w:hAnsi="Times New Roman" w:cs="David" w:hint="cs"/>
          <w:sz w:val="24"/>
          <w:szCs w:val="24"/>
          <w:rtl/>
        </w:rPr>
        <w:t xml:space="preserve"> ב</w:t>
      </w:r>
      <w:hyperlink r:id="rId19" w:tooltip="ערבים" w:history="1">
        <w:r w:rsidRPr="00B810A2">
          <w:rPr>
            <w:rFonts w:ascii="Times New Roman" w:eastAsia="Times New Roman" w:hAnsi="Times New Roman" w:cs="David" w:hint="cs"/>
            <w:sz w:val="24"/>
            <w:szCs w:val="24"/>
            <w:rtl/>
          </w:rPr>
          <w:t>ערבים</w:t>
        </w:r>
      </w:hyperlink>
      <w:r w:rsidRPr="00B810A2">
        <w:rPr>
          <w:rFonts w:ascii="Times New Roman" w:eastAsia="Times New Roman" w:hAnsi="Times New Roman" w:cs="David" w:hint="cs"/>
          <w:sz w:val="24"/>
          <w:szCs w:val="24"/>
          <w:rtl/>
        </w:rPr>
        <w:t xml:space="preserve">. זמן קצר  לפני יציאת הבריטים (ב- </w:t>
      </w:r>
      <w:hyperlink r:id="rId20" w:tooltip="19 בדצמבר" w:history="1">
        <w:r w:rsidRPr="00B810A2">
          <w:rPr>
            <w:rFonts w:ascii="Times New Roman" w:eastAsia="Times New Roman" w:hAnsi="Times New Roman" w:cs="David" w:hint="cs"/>
            <w:sz w:val="24"/>
            <w:szCs w:val="24"/>
            <w:rtl/>
          </w:rPr>
          <w:t>19 בדצמבר</w:t>
        </w:r>
      </w:hyperlink>
      <w:r w:rsidRPr="00B810A2">
        <w:rPr>
          <w:rFonts w:ascii="Times New Roman" w:eastAsia="Times New Roman" w:hAnsi="Times New Roman" w:cs="David" w:hint="cs"/>
          <w:sz w:val="24"/>
          <w:szCs w:val="24"/>
          <w:rtl/>
        </w:rPr>
        <w:t xml:space="preserve"> </w:t>
      </w:r>
      <w:hyperlink r:id="rId21" w:tooltip="1947" w:history="1">
        <w:r w:rsidRPr="00B810A2">
          <w:rPr>
            <w:rFonts w:ascii="Times New Roman" w:eastAsia="Times New Roman" w:hAnsi="Times New Roman" w:cs="David" w:hint="cs"/>
            <w:sz w:val="24"/>
            <w:szCs w:val="24"/>
            <w:rtl/>
          </w:rPr>
          <w:t>1947</w:t>
        </w:r>
      </w:hyperlink>
      <w:r w:rsidRPr="00B810A2">
        <w:rPr>
          <w:rFonts w:ascii="Times New Roman" w:eastAsia="Times New Roman" w:hAnsi="Times New Roman" w:cs="David" w:hint="cs"/>
          <w:sz w:val="24"/>
          <w:szCs w:val="24"/>
          <w:rtl/>
        </w:rPr>
        <w:t xml:space="preserve">). אלתרמן קורא להרים ראש מתוך ביטחון שסיום המלחמה, כואב ככול שיהיה, יביא להקמתה של מדינה עצמאית. כאמור השיר נכתב לפני סיום המלחמה, במידה מסוימת המשורר צפה את העתיד.                                                                                                                                                  </w:t>
      </w:r>
      <w:r w:rsidRPr="00B810A2">
        <w:rPr>
          <w:rFonts w:ascii="Times New Roman" w:eastAsia="Times New Roman" w:hAnsi="Times New Roman" w:cs="David" w:hint="cs"/>
          <w:sz w:val="24"/>
          <w:szCs w:val="24"/>
          <w:u w:val="single"/>
          <w:rtl/>
        </w:rPr>
        <w:t>מבנה השיר</w:t>
      </w:r>
      <w:r w:rsidRPr="00B810A2">
        <w:rPr>
          <w:rFonts w:ascii="Times New Roman" w:eastAsia="Times New Roman" w:hAnsi="Times New Roman" w:cs="David" w:hint="cs"/>
          <w:sz w:val="24"/>
          <w:szCs w:val="24"/>
          <w:rtl/>
        </w:rPr>
        <w:t xml:space="preserve">:   בשיר יש חמישה בתים.                                                                                                                           </w:t>
      </w:r>
      <w:r w:rsidRPr="00B810A2">
        <w:rPr>
          <w:rFonts w:ascii="Times New Roman" w:eastAsia="Times New Roman" w:hAnsi="Times New Roman" w:cs="David" w:hint="cs"/>
          <w:sz w:val="24"/>
          <w:szCs w:val="24"/>
          <w:u w:val="single"/>
          <w:rtl/>
        </w:rPr>
        <w:t>נושא השיר</w:t>
      </w:r>
      <w:r w:rsidRPr="00B810A2">
        <w:rPr>
          <w:rFonts w:ascii="Times New Roman" w:eastAsia="Times New Roman" w:hAnsi="Times New Roman" w:cs="David" w:hint="cs"/>
          <w:sz w:val="24"/>
          <w:szCs w:val="24"/>
          <w:rtl/>
        </w:rPr>
        <w:t>:                                                                                                                                                           המציגים את האומה המתכוננת לטקס קבלת העצמאות שלה. שני  לוחמים, נערה ונער שלא ברור אם נהרגו או לא, באים לטקס ומודיעים לאומה שלא תשכח אותם, בזכותם קמה המדינה ב"מגש הכסף" המוטיב המרכזי בשיר הוא, שהלוחמים שנהרגו על מנת לשמור על היישוב הם "מגש הכסף" שעליו "מוגשת" המדינה.( כיום מקובל להקריא שיר זה ב</w:t>
      </w:r>
      <w:hyperlink r:id="rId22" w:tooltip="טקס" w:history="1">
        <w:r w:rsidRPr="00B810A2">
          <w:rPr>
            <w:rFonts w:ascii="Times New Roman" w:eastAsia="Times New Roman" w:hAnsi="Times New Roman" w:cs="David" w:hint="cs"/>
            <w:sz w:val="24"/>
            <w:szCs w:val="24"/>
            <w:rtl/>
          </w:rPr>
          <w:t>טקס</w:t>
        </w:r>
      </w:hyperlink>
      <w:r w:rsidRPr="00B810A2">
        <w:rPr>
          <w:rFonts w:ascii="Times New Roman" w:eastAsia="Times New Roman" w:hAnsi="Times New Roman" w:cs="David" w:hint="cs"/>
          <w:sz w:val="24"/>
          <w:szCs w:val="24"/>
          <w:rtl/>
        </w:rPr>
        <w:t xml:space="preserve"> </w:t>
      </w:r>
      <w:hyperlink r:id="rId23" w:tooltip="יום הזיכרון לחללי מערכות ישראל" w:history="1">
        <w:r w:rsidRPr="00B810A2">
          <w:rPr>
            <w:rFonts w:ascii="Times New Roman" w:eastAsia="Times New Roman" w:hAnsi="Times New Roman" w:cs="David" w:hint="cs"/>
            <w:sz w:val="24"/>
            <w:szCs w:val="24"/>
            <w:rtl/>
          </w:rPr>
          <w:t>יום הזיכרון לחללי מערכות ישראל</w:t>
        </w:r>
      </w:hyperlink>
      <w:r w:rsidRPr="00B810A2">
        <w:rPr>
          <w:rFonts w:ascii="Times New Roman" w:eastAsia="Times New Roman" w:hAnsi="Times New Roman" w:cs="David" w:hint="cs"/>
          <w:sz w:val="24"/>
          <w:szCs w:val="24"/>
          <w:rtl/>
        </w:rPr>
        <w:t>)</w:t>
      </w:r>
      <w:r w:rsidRPr="00B810A2">
        <w:rPr>
          <w:rFonts w:cs="David" w:hint="cs"/>
          <w:sz w:val="24"/>
          <w:szCs w:val="24"/>
          <w:rtl/>
        </w:rPr>
        <w:t xml:space="preserve">                            </w:t>
      </w:r>
    </w:p>
    <w:p w:rsidR="00B810A2" w:rsidRDefault="00B810A2" w:rsidP="00B810A2">
      <w:pPr>
        <w:bidi/>
        <w:spacing w:line="360" w:lineRule="auto"/>
        <w:ind w:right="-425"/>
        <w:rPr>
          <w:rFonts w:cs="David" w:hint="cs"/>
          <w:sz w:val="24"/>
          <w:szCs w:val="24"/>
          <w:rtl/>
        </w:rPr>
      </w:pPr>
      <w:r w:rsidRPr="00B810A2">
        <w:rPr>
          <w:rFonts w:ascii="Times New Roman" w:eastAsia="Times New Roman" w:hAnsi="Times New Roman" w:cs="David" w:hint="cs"/>
          <w:sz w:val="24"/>
          <w:szCs w:val="24"/>
          <w:u w:val="single"/>
          <w:rtl/>
        </w:rPr>
        <w:t>תוכן השיר</w:t>
      </w:r>
      <w:r w:rsidRPr="00B810A2">
        <w:rPr>
          <w:rFonts w:ascii="Times New Roman" w:eastAsia="Times New Roman" w:hAnsi="Times New Roman" w:cs="David" w:hint="cs"/>
          <w:sz w:val="24"/>
          <w:szCs w:val="24"/>
          <w:rtl/>
        </w:rPr>
        <w:t>:</w:t>
      </w:r>
      <w:r w:rsidRPr="00B810A2">
        <w:rPr>
          <w:rFonts w:cs="David" w:hint="cs"/>
          <w:sz w:val="24"/>
          <w:szCs w:val="24"/>
          <w:rtl/>
        </w:rPr>
        <w:t xml:space="preserve">                                                                                                                                                  </w:t>
      </w:r>
      <w:r>
        <w:rPr>
          <w:rFonts w:cs="David" w:hint="cs"/>
          <w:sz w:val="24"/>
          <w:szCs w:val="24"/>
          <w:rtl/>
        </w:rPr>
        <w:t xml:space="preserve">               </w:t>
      </w:r>
      <w:r w:rsidRPr="00B810A2">
        <w:rPr>
          <w:rFonts w:cs="David" w:hint="cs"/>
          <w:sz w:val="24"/>
          <w:szCs w:val="24"/>
          <w:rtl/>
        </w:rPr>
        <w:t xml:space="preserve">  </w:t>
      </w:r>
      <w:r w:rsidRPr="00B810A2">
        <w:rPr>
          <w:rFonts w:cs="David" w:hint="cs"/>
          <w:b/>
          <w:bCs/>
          <w:sz w:val="24"/>
          <w:szCs w:val="24"/>
          <w:rtl/>
        </w:rPr>
        <w:t>הבית הראשון</w:t>
      </w:r>
      <w:r w:rsidRPr="00B810A2">
        <w:rPr>
          <w:rFonts w:cs="David" w:hint="cs"/>
          <w:sz w:val="24"/>
          <w:szCs w:val="24"/>
          <w:rtl/>
        </w:rPr>
        <w:t xml:space="preserve"> מתאר את מצב האומה לאחר סיום המלחמה. "עין שמים אודמת" העין אדומה מבכי, עייפות, עשן הקרבות. "תעמעם לאטה" לאט חוזרת למסלול חיים.(כמו שמעמעמים את האור לפני הצגה) "על גבולות עשנים"  העשן שנשאר על גבולות. "</w:t>
      </w:r>
      <w:proofErr w:type="spellStart"/>
      <w:r w:rsidRPr="00B810A2">
        <w:rPr>
          <w:rFonts w:cs="David" w:hint="cs"/>
          <w:sz w:val="24"/>
          <w:szCs w:val="24"/>
          <w:rtl/>
        </w:rPr>
        <w:t>קרועת</w:t>
      </w:r>
      <w:proofErr w:type="spellEnd"/>
      <w:r w:rsidRPr="00B810A2">
        <w:rPr>
          <w:rFonts w:cs="David" w:hint="cs"/>
          <w:sz w:val="24"/>
          <w:szCs w:val="24"/>
          <w:rtl/>
        </w:rPr>
        <w:t xml:space="preserve"> לב אך נושמת" היא פצועה אבל נושמת, היא תבריא. "לקבל את הנס האחד אין שני.." לקבל את עצמאותה ולא שום אלטרנטיבה אחרת.                                      </w:t>
      </w:r>
      <w:r>
        <w:rPr>
          <w:rFonts w:cs="David" w:hint="cs"/>
          <w:sz w:val="24"/>
          <w:szCs w:val="24"/>
          <w:rtl/>
        </w:rPr>
        <w:t xml:space="preserve">                                                   </w:t>
      </w:r>
      <w:r w:rsidRPr="00B810A2">
        <w:rPr>
          <w:rFonts w:cs="David" w:hint="cs"/>
          <w:b/>
          <w:bCs/>
          <w:sz w:val="24"/>
          <w:szCs w:val="24"/>
          <w:rtl/>
        </w:rPr>
        <w:t>הבית השני</w:t>
      </w:r>
      <w:r w:rsidRPr="00B810A2">
        <w:rPr>
          <w:rFonts w:cs="David" w:hint="cs"/>
          <w:sz w:val="24"/>
          <w:szCs w:val="24"/>
          <w:rtl/>
        </w:rPr>
        <w:t xml:space="preserve">  מתאר את ההתכוננות לקראת הטקס ופתאום הפתעה! " היא תקום למול סהר" סהר =ירח. "עוטה חג ואימה" האומה עטופה בהרגשה של חג אבל עדין בפחד, פחד ממה שיקרה מעכשיו, לא יודעת לאן היא הולכת. "-- --אז מנגד יצאו נערה ונער" פתאום, בלי כל סימן או התרעה  מישהו מפריע  לשמחה מפתיע,  נער ונערה שהאומה לא מכירה  אבל הם מנסים לא להפריע "ואט </w:t>
      </w:r>
      <w:r w:rsidRPr="00B810A2">
        <w:rPr>
          <w:rFonts w:cs="David"/>
          <w:sz w:val="24"/>
          <w:szCs w:val="24"/>
          <w:rtl/>
        </w:rPr>
        <w:t>–</w:t>
      </w:r>
      <w:r w:rsidRPr="00B810A2">
        <w:rPr>
          <w:rFonts w:cs="David" w:hint="cs"/>
          <w:sz w:val="24"/>
          <w:szCs w:val="24"/>
          <w:rtl/>
        </w:rPr>
        <w:t xml:space="preserve"> אט יצעדו הם אל מול האומה"                                                                                                                            </w:t>
      </w:r>
    </w:p>
    <w:p w:rsidR="00B810A2" w:rsidRPr="00B810A2" w:rsidRDefault="00B810A2" w:rsidP="00B810A2">
      <w:pPr>
        <w:bidi/>
        <w:spacing w:line="360" w:lineRule="auto"/>
        <w:ind w:right="-425"/>
        <w:rPr>
          <w:rFonts w:cs="David"/>
          <w:sz w:val="24"/>
          <w:szCs w:val="24"/>
          <w:rtl/>
        </w:rPr>
      </w:pPr>
      <w:r w:rsidRPr="00B810A2">
        <w:rPr>
          <w:rFonts w:cs="David" w:hint="cs"/>
          <w:b/>
          <w:bCs/>
          <w:sz w:val="24"/>
          <w:szCs w:val="24"/>
          <w:rtl/>
        </w:rPr>
        <w:lastRenderedPageBreak/>
        <w:t>הבית השלישי</w:t>
      </w:r>
      <w:r w:rsidRPr="00B810A2">
        <w:rPr>
          <w:rFonts w:cs="David" w:hint="cs"/>
          <w:sz w:val="24"/>
          <w:szCs w:val="24"/>
          <w:rtl/>
        </w:rPr>
        <w:t xml:space="preserve"> מתאר את  מראם ומעשיהם של הנער והנערה. "</w:t>
      </w:r>
      <w:proofErr w:type="spellStart"/>
      <w:r w:rsidRPr="00B810A2">
        <w:rPr>
          <w:rFonts w:cs="David" w:hint="cs"/>
          <w:sz w:val="24"/>
          <w:szCs w:val="24"/>
          <w:rtl/>
        </w:rPr>
        <w:t>לובשי</w:t>
      </w:r>
      <w:proofErr w:type="spellEnd"/>
      <w:r w:rsidRPr="00B810A2">
        <w:rPr>
          <w:rFonts w:cs="David" w:hint="cs"/>
          <w:sz w:val="24"/>
          <w:szCs w:val="24"/>
          <w:rtl/>
        </w:rPr>
        <w:t xml:space="preserve"> חל וחגור, וכבדי נעלים.... לא החליפו בגדם, לא מחו עוד במים את עקבות יום </w:t>
      </w:r>
      <w:r w:rsidRPr="00B810A2">
        <w:rPr>
          <w:rFonts w:cs="David"/>
          <w:sz w:val="24"/>
          <w:szCs w:val="24"/>
          <w:rtl/>
        </w:rPr>
        <w:t>–</w:t>
      </w:r>
      <w:r w:rsidRPr="00B810A2">
        <w:rPr>
          <w:rFonts w:cs="David" w:hint="cs"/>
          <w:sz w:val="24"/>
          <w:szCs w:val="24"/>
          <w:rtl/>
        </w:rPr>
        <w:t xml:space="preserve"> הפרך וליל קו האש" הם עדין עם החגור ומלאים חול </w:t>
      </w:r>
      <w:r w:rsidRPr="00B810A2">
        <w:rPr>
          <w:rFonts w:cs="David"/>
          <w:sz w:val="24"/>
          <w:szCs w:val="24"/>
          <w:rtl/>
        </w:rPr>
        <w:t>–</w:t>
      </w:r>
      <w:r w:rsidRPr="00B810A2">
        <w:rPr>
          <w:rFonts w:cs="David" w:hint="cs"/>
          <w:sz w:val="24"/>
          <w:szCs w:val="24"/>
          <w:rtl/>
        </w:rPr>
        <w:t xml:space="preserve">אבק, הם עוד לא התקלחו והחליפו את הבגדים  מהקרבות  לכבוד הטקס. "בנתיב יעלו הם הלוך והחרש." הם הולכים בשקט לכיוון האומה, לא רוצים להפריע רק להיות נוכחים בטקס.                                                                                     </w:t>
      </w:r>
      <w:r>
        <w:rPr>
          <w:rFonts w:cs="David" w:hint="cs"/>
          <w:sz w:val="24"/>
          <w:szCs w:val="24"/>
          <w:rtl/>
        </w:rPr>
        <w:t xml:space="preserve">              </w:t>
      </w:r>
      <w:r w:rsidRPr="00B810A2">
        <w:rPr>
          <w:rFonts w:cs="David" w:hint="cs"/>
          <w:b/>
          <w:bCs/>
          <w:sz w:val="24"/>
          <w:szCs w:val="24"/>
          <w:rtl/>
        </w:rPr>
        <w:t>הבית הרביעי</w:t>
      </w:r>
      <w:r w:rsidRPr="00B810A2">
        <w:rPr>
          <w:rFonts w:cs="David" w:hint="cs"/>
          <w:sz w:val="24"/>
          <w:szCs w:val="24"/>
          <w:rtl/>
        </w:rPr>
        <w:t xml:space="preserve">  מתאר את מצבם הפיזי."</w:t>
      </w:r>
      <w:proofErr w:type="spellStart"/>
      <w:r w:rsidRPr="00B810A2">
        <w:rPr>
          <w:rFonts w:cs="David" w:hint="cs"/>
          <w:sz w:val="24"/>
          <w:szCs w:val="24"/>
          <w:rtl/>
        </w:rPr>
        <w:t>עיפים</w:t>
      </w:r>
      <w:proofErr w:type="spellEnd"/>
      <w:r w:rsidRPr="00B810A2">
        <w:rPr>
          <w:rFonts w:cs="David" w:hint="cs"/>
          <w:sz w:val="24"/>
          <w:szCs w:val="24"/>
          <w:rtl/>
        </w:rPr>
        <w:t xml:space="preserve"> עד בלי קץ, נזירים ממרגוע, ונוטפים טללי נעורים עבריים ---  --- דם השנים </w:t>
      </w:r>
      <w:proofErr w:type="spellStart"/>
      <w:r w:rsidRPr="00B810A2">
        <w:rPr>
          <w:rFonts w:cs="David" w:hint="cs"/>
          <w:sz w:val="24"/>
          <w:szCs w:val="24"/>
          <w:rtl/>
        </w:rPr>
        <w:t>יגשו</w:t>
      </w:r>
      <w:proofErr w:type="spellEnd"/>
      <w:r w:rsidRPr="00B810A2">
        <w:rPr>
          <w:rFonts w:cs="David" w:hint="cs"/>
          <w:sz w:val="24"/>
          <w:szCs w:val="24"/>
          <w:rtl/>
        </w:rPr>
        <w:t xml:space="preserve">, ועמדו לבלי נוע." הם מאוד עייפים, הם עדין לא נחו,(נזירים </w:t>
      </w:r>
      <w:r w:rsidRPr="00B810A2">
        <w:rPr>
          <w:rFonts w:cs="David"/>
          <w:sz w:val="24"/>
          <w:szCs w:val="24"/>
          <w:rtl/>
        </w:rPr>
        <w:t>–</w:t>
      </w:r>
      <w:r w:rsidRPr="00B810A2">
        <w:rPr>
          <w:rFonts w:cs="David" w:hint="cs"/>
          <w:sz w:val="24"/>
          <w:szCs w:val="24"/>
          <w:rtl/>
        </w:rPr>
        <w:t xml:space="preserve"> מתנזרים ממנוחה נמנעים) הזעה שלהם (טללי = טל) שיש בה גאווה מיוחדת, היא עברית. "דם השנים </w:t>
      </w:r>
      <w:proofErr w:type="spellStart"/>
      <w:r w:rsidRPr="00B810A2">
        <w:rPr>
          <w:rFonts w:cs="David" w:hint="cs"/>
          <w:sz w:val="24"/>
          <w:szCs w:val="24"/>
          <w:rtl/>
        </w:rPr>
        <w:t>יגשו</w:t>
      </w:r>
      <w:proofErr w:type="spellEnd"/>
      <w:r w:rsidRPr="00B810A2">
        <w:rPr>
          <w:rFonts w:cs="David" w:hint="cs"/>
          <w:sz w:val="24"/>
          <w:szCs w:val="24"/>
          <w:rtl/>
        </w:rPr>
        <w:t xml:space="preserve">, ועמדו לבלי נוע." אבל, יש בהם צניעות. "ואין אות אם חיים הם או אם ירויים" לא ידוע אם הם חיים או מתים.                                                                                                                                             </w:t>
      </w:r>
      <w:r w:rsidRPr="00B810A2">
        <w:rPr>
          <w:rFonts w:cs="David" w:hint="cs"/>
          <w:b/>
          <w:bCs/>
          <w:sz w:val="24"/>
          <w:szCs w:val="24"/>
          <w:rtl/>
        </w:rPr>
        <w:t>הבית המסיים</w:t>
      </w:r>
      <w:r w:rsidRPr="00B810A2">
        <w:rPr>
          <w:rFonts w:cs="David" w:hint="cs"/>
          <w:sz w:val="24"/>
          <w:szCs w:val="24"/>
          <w:rtl/>
        </w:rPr>
        <w:t xml:space="preserve">  הוא דיאלוג בין האומה והנערים ובסיומו קטע הבא לנבא, לצפות.  עד עכשיו ראינו, את תיאור מצב האומה ( פצועה, נושמת, מעושנת) ואת תיאור הנערים. כעת הדיאלוג, בשיאו נדע מי הנערים האלה. "אז תשאל האומה, שטופת דמע וקסם" האומה בוכה ומופתעת, מוקסמת מהנערים המיוחדים. "והשנים שוקטים" הם לא עונים מיד, הם מתעכבים לענות, אולי מעייפות, מהפתעה שפנו אליהם, הרי הם עשו </w:t>
      </w:r>
      <w:proofErr w:type="spellStart"/>
      <w:r w:rsidRPr="00B810A2">
        <w:rPr>
          <w:rFonts w:cs="David" w:hint="cs"/>
          <w:sz w:val="24"/>
          <w:szCs w:val="24"/>
          <w:rtl/>
        </w:rPr>
        <w:t>הכל</w:t>
      </w:r>
      <w:proofErr w:type="spellEnd"/>
      <w:r w:rsidRPr="00B810A2">
        <w:rPr>
          <w:rFonts w:cs="David" w:hint="cs"/>
          <w:sz w:val="24"/>
          <w:szCs w:val="24"/>
          <w:rtl/>
        </w:rPr>
        <w:t xml:space="preserve"> בשקט. "יענו לה: אנחנו מגש הכסף שעליו ניתנה מדינת היהודים" לבסוף הם עונים , אבל לא מספרים על עצמם, (שמותיהם, גילם) אלא, מה היה התפקיד שלהם כדי שהטקס יוכל להתקיים. מגש כסף הוא דבר יקר, מיוחד, נדיר, אין אותו לכל אחד ומי שרוצה אותו חייב לשלם מחיר גבוה. כך גם המחיר של רצון לעצמאות. "כך יאמרו. ונפלו לרגליה </w:t>
      </w:r>
      <w:proofErr w:type="spellStart"/>
      <w:r w:rsidRPr="00B810A2">
        <w:rPr>
          <w:rFonts w:cs="David" w:hint="cs"/>
          <w:sz w:val="24"/>
          <w:szCs w:val="24"/>
          <w:rtl/>
        </w:rPr>
        <w:t>עטופי</w:t>
      </w:r>
      <w:proofErr w:type="spellEnd"/>
      <w:r w:rsidRPr="00B810A2">
        <w:rPr>
          <w:rFonts w:cs="David" w:hint="cs"/>
          <w:sz w:val="24"/>
          <w:szCs w:val="24"/>
          <w:rtl/>
        </w:rPr>
        <w:t xml:space="preserve">  צל" הם את תפקידם סיימו, הם לא צריכים את אור הזרקורים, הם לא צריכים תהילה. " והשאר יספר בתולדות ישראל." לא ידוע מה יקרה בעתיד, אבל הגבורה שלהם תכתב בהיסטוריה של ישראל. </w:t>
      </w:r>
    </w:p>
    <w:p w:rsidR="00B810A2" w:rsidRPr="00B810A2" w:rsidRDefault="00B810A2" w:rsidP="00B810A2">
      <w:pPr>
        <w:bidi/>
        <w:spacing w:line="360" w:lineRule="auto"/>
        <w:ind w:right="-425"/>
        <w:rPr>
          <w:rFonts w:cs="David"/>
          <w:sz w:val="24"/>
          <w:szCs w:val="24"/>
          <w:rtl/>
        </w:rPr>
      </w:pPr>
      <w:r w:rsidRPr="00B810A2">
        <w:rPr>
          <w:rFonts w:cs="David" w:hint="cs"/>
          <w:sz w:val="24"/>
          <w:szCs w:val="24"/>
          <w:u w:val="single"/>
          <w:rtl/>
        </w:rPr>
        <w:t>הניגודים בשיר</w:t>
      </w:r>
      <w:r w:rsidRPr="00B810A2">
        <w:rPr>
          <w:rFonts w:cs="David" w:hint="cs"/>
          <w:sz w:val="24"/>
          <w:szCs w:val="24"/>
          <w:rtl/>
        </w:rPr>
        <w:t xml:space="preserve">:                                                                                                                                             </w:t>
      </w:r>
      <w:r>
        <w:rPr>
          <w:rFonts w:cs="David" w:hint="cs"/>
          <w:sz w:val="24"/>
          <w:szCs w:val="24"/>
          <w:rtl/>
        </w:rPr>
        <w:t xml:space="preserve">                </w:t>
      </w:r>
      <w:r w:rsidRPr="00B810A2">
        <w:rPr>
          <w:rFonts w:cs="David" w:hint="cs"/>
          <w:sz w:val="24"/>
          <w:szCs w:val="24"/>
          <w:rtl/>
        </w:rPr>
        <w:t xml:space="preserve"> </w:t>
      </w:r>
      <w:r w:rsidRPr="00B810A2">
        <w:rPr>
          <w:rFonts w:ascii="Times New Roman" w:eastAsia="Times New Roman" w:hAnsi="Times New Roman" w:cs="David" w:hint="cs"/>
          <w:sz w:val="24"/>
          <w:szCs w:val="24"/>
          <w:rtl/>
        </w:rPr>
        <w:t>ברמת העיצוב – בחר אלתרמן לארגן את השיר סביב ניגודים:</w:t>
      </w:r>
      <w:r w:rsidRPr="00B810A2">
        <w:rPr>
          <w:rFonts w:cs="David" w:hint="cs"/>
          <w:sz w:val="24"/>
          <w:szCs w:val="24"/>
          <w:rtl/>
        </w:rPr>
        <w:t xml:space="preserve">                                                                                  </w:t>
      </w:r>
      <w:r w:rsidRPr="00B810A2">
        <w:rPr>
          <w:rFonts w:ascii="Times New Roman" w:eastAsia="Times New Roman" w:hAnsi="Times New Roman" w:cs="David" w:hint="cs"/>
          <w:sz w:val="24"/>
          <w:szCs w:val="24"/>
          <w:rtl/>
        </w:rPr>
        <w:t xml:space="preserve">ארץ-שמים "והארץ תשקוט עין שמים אודמת"                                                                                               </w:t>
      </w:r>
      <w:r>
        <w:rPr>
          <w:rFonts w:ascii="Times New Roman" w:eastAsia="Times New Roman" w:hAnsi="Times New Roman" w:cs="David" w:hint="cs"/>
          <w:sz w:val="24"/>
          <w:szCs w:val="24"/>
          <w:rtl/>
        </w:rPr>
        <w:t xml:space="preserve">             </w:t>
      </w:r>
      <w:r w:rsidRPr="00B810A2">
        <w:rPr>
          <w:rFonts w:ascii="Times New Roman" w:eastAsia="Times New Roman" w:hAnsi="Times New Roman" w:cs="David" w:hint="cs"/>
          <w:sz w:val="24"/>
          <w:szCs w:val="24"/>
          <w:rtl/>
        </w:rPr>
        <w:t>יום – לילה " עקבות יום הפרך וליל קו האש"</w:t>
      </w:r>
      <w:r w:rsidRPr="00B810A2">
        <w:rPr>
          <w:rFonts w:cs="David" w:hint="cs"/>
          <w:sz w:val="24"/>
          <w:szCs w:val="24"/>
          <w:rtl/>
        </w:rPr>
        <w:t xml:space="preserve">                                                                                             </w:t>
      </w:r>
      <w:r>
        <w:rPr>
          <w:rFonts w:cs="David" w:hint="cs"/>
          <w:sz w:val="24"/>
          <w:szCs w:val="24"/>
          <w:rtl/>
        </w:rPr>
        <w:t xml:space="preserve">              </w:t>
      </w:r>
      <w:r w:rsidRPr="00B810A2">
        <w:rPr>
          <w:rFonts w:cs="David" w:hint="cs"/>
          <w:sz w:val="24"/>
          <w:szCs w:val="24"/>
          <w:rtl/>
        </w:rPr>
        <w:t xml:space="preserve"> </w:t>
      </w:r>
      <w:r w:rsidRPr="00B810A2">
        <w:rPr>
          <w:rFonts w:ascii="Times New Roman" w:eastAsia="Times New Roman" w:hAnsi="Times New Roman" w:cs="David" w:hint="cs"/>
          <w:sz w:val="24"/>
          <w:szCs w:val="24"/>
          <w:rtl/>
        </w:rPr>
        <w:t>מים –אש "לא מחו עוד במים.. ליל קו האש"</w:t>
      </w:r>
      <w:r w:rsidRPr="00B810A2">
        <w:rPr>
          <w:rFonts w:cs="David" w:hint="cs"/>
          <w:sz w:val="24"/>
          <w:szCs w:val="24"/>
          <w:rtl/>
        </w:rPr>
        <w:t xml:space="preserve">                                                                                        </w:t>
      </w:r>
      <w:r>
        <w:rPr>
          <w:rFonts w:cs="David" w:hint="cs"/>
          <w:sz w:val="24"/>
          <w:szCs w:val="24"/>
          <w:rtl/>
        </w:rPr>
        <w:t xml:space="preserve">                  </w:t>
      </w:r>
      <w:r w:rsidRPr="00B810A2">
        <w:rPr>
          <w:rFonts w:ascii="Times New Roman" w:eastAsia="Times New Roman" w:hAnsi="Times New Roman" w:cs="David" w:hint="cs"/>
          <w:sz w:val="24"/>
          <w:szCs w:val="24"/>
          <w:rtl/>
        </w:rPr>
        <w:t>נער- נערה, נערים – אם, חג –חולין [עוטה חג .. לבושי חול ]</w:t>
      </w:r>
      <w:r w:rsidRPr="00B810A2">
        <w:rPr>
          <w:rFonts w:cs="David" w:hint="cs"/>
          <w:sz w:val="24"/>
          <w:szCs w:val="24"/>
          <w:rtl/>
        </w:rPr>
        <w:t xml:space="preserve">                                                                                    </w:t>
      </w:r>
      <w:r w:rsidRPr="00B810A2">
        <w:rPr>
          <w:rFonts w:ascii="Times New Roman" w:eastAsia="Times New Roman" w:hAnsi="Times New Roman" w:cs="David" w:hint="cs"/>
          <w:sz w:val="24"/>
          <w:szCs w:val="24"/>
          <w:rtl/>
        </w:rPr>
        <w:t xml:space="preserve">הניגודים הללו נראים לעיתים משלימים זה את זה אבל בבדיקה מעמיקה יש צרימה </w:t>
      </w:r>
      <w:r w:rsidRPr="00B810A2">
        <w:rPr>
          <w:rFonts w:cs="David" w:hint="cs"/>
          <w:sz w:val="24"/>
          <w:szCs w:val="24"/>
          <w:rtl/>
        </w:rPr>
        <w:t xml:space="preserve">                                              </w:t>
      </w:r>
      <w:r w:rsidRPr="00B810A2">
        <w:rPr>
          <w:rFonts w:ascii="Times New Roman" w:eastAsia="Times New Roman" w:hAnsi="Times New Roman" w:cs="David" w:hint="cs"/>
          <w:sz w:val="24"/>
          <w:szCs w:val="24"/>
          <w:rtl/>
        </w:rPr>
        <w:t>המונעת את השלמתם כמו .." והארץ תשקוט עין שמים או תעמעם לאטה"</w:t>
      </w:r>
      <w:r w:rsidRPr="00B810A2">
        <w:rPr>
          <w:rFonts w:cs="David" w:hint="cs"/>
          <w:sz w:val="24"/>
          <w:szCs w:val="24"/>
          <w:rtl/>
        </w:rPr>
        <w:t xml:space="preserve">                                                 </w:t>
      </w:r>
      <w:r>
        <w:rPr>
          <w:rFonts w:cs="David" w:hint="cs"/>
          <w:sz w:val="24"/>
          <w:szCs w:val="24"/>
          <w:rtl/>
        </w:rPr>
        <w:t xml:space="preserve">               </w:t>
      </w:r>
      <w:r w:rsidRPr="00B810A2">
        <w:rPr>
          <w:rFonts w:cs="David" w:hint="cs"/>
          <w:sz w:val="24"/>
          <w:szCs w:val="24"/>
          <w:rtl/>
        </w:rPr>
        <w:t xml:space="preserve">  </w:t>
      </w:r>
      <w:r w:rsidRPr="00B810A2">
        <w:rPr>
          <w:rFonts w:ascii="Times New Roman" w:eastAsia="Times New Roman" w:hAnsi="Times New Roman" w:cs="David" w:hint="cs"/>
          <w:sz w:val="24"/>
          <w:szCs w:val="24"/>
          <w:rtl/>
        </w:rPr>
        <w:t>בשיר כולו חוסר רגיעה השמים מתאדמים וגם העין – היא אודמת מבכי , מזעם , מעשן האש, ממסקנות העתיד..?</w:t>
      </w:r>
      <w:r w:rsidRPr="00B810A2">
        <w:rPr>
          <w:rFonts w:cs="David" w:hint="cs"/>
          <w:sz w:val="24"/>
          <w:szCs w:val="24"/>
          <w:rtl/>
        </w:rPr>
        <w:t xml:space="preserve">                                                                                                                                           </w:t>
      </w:r>
      <w:r w:rsidRPr="00B810A2">
        <w:rPr>
          <w:rFonts w:ascii="Times New Roman" w:eastAsia="Times New Roman" w:hAnsi="Times New Roman" w:cs="David" w:hint="cs"/>
          <w:sz w:val="24"/>
          <w:szCs w:val="24"/>
          <w:rtl/>
        </w:rPr>
        <w:t>גם הביטו "</w:t>
      </w:r>
      <w:proofErr w:type="spellStart"/>
      <w:r w:rsidRPr="00B810A2">
        <w:rPr>
          <w:rFonts w:ascii="Times New Roman" w:eastAsia="Times New Roman" w:hAnsi="Times New Roman" w:cs="David" w:hint="cs"/>
          <w:sz w:val="24"/>
          <w:szCs w:val="24"/>
          <w:rtl/>
        </w:rPr>
        <w:t>קרועת</w:t>
      </w:r>
      <w:proofErr w:type="spellEnd"/>
      <w:r w:rsidRPr="00B810A2">
        <w:rPr>
          <w:rFonts w:ascii="Times New Roman" w:eastAsia="Times New Roman" w:hAnsi="Times New Roman" w:cs="David" w:hint="cs"/>
          <w:sz w:val="24"/>
          <w:szCs w:val="24"/>
          <w:rtl/>
        </w:rPr>
        <w:t xml:space="preserve"> לב אך נושמת " מעורר מחשבה אחרת . לא רק מצער הגדול על האובדן האומה קרועה אלא מהסתירה המצויה בה האומה הזו שרויה יתכן בפרפורי גסיסה כמו ילדיה שאין אות לגביהם אם חיים הם או ירויים.</w:t>
      </w:r>
      <w:r w:rsidRPr="00B810A2">
        <w:rPr>
          <w:rFonts w:cs="David" w:hint="cs"/>
          <w:sz w:val="24"/>
          <w:szCs w:val="24"/>
          <w:rtl/>
        </w:rPr>
        <w:t xml:space="preserve">                                                                                                                     </w:t>
      </w:r>
      <w:r>
        <w:rPr>
          <w:rFonts w:cs="David" w:hint="cs"/>
          <w:sz w:val="24"/>
          <w:szCs w:val="24"/>
          <w:rtl/>
        </w:rPr>
        <w:t xml:space="preserve">                                                         </w:t>
      </w:r>
      <w:r w:rsidRPr="00B810A2">
        <w:rPr>
          <w:rFonts w:ascii="Times New Roman" w:eastAsia="Times New Roman" w:hAnsi="Times New Roman" w:cs="David" w:hint="cs"/>
          <w:sz w:val="24"/>
          <w:szCs w:val="24"/>
          <w:rtl/>
        </w:rPr>
        <w:t xml:space="preserve">בשיר הזה מתמודד אלתרמן עם  הזוועה שבמותם של הנערים המשלמים את מחיר הקמת המדינה שלושה שבועות אחרי הכרזת </w:t>
      </w:r>
      <w:proofErr w:type="spellStart"/>
      <w:r w:rsidRPr="00B810A2">
        <w:rPr>
          <w:rFonts w:ascii="Times New Roman" w:eastAsia="Times New Roman" w:hAnsi="Times New Roman" w:cs="David" w:hint="cs"/>
          <w:sz w:val="24"/>
          <w:szCs w:val="24"/>
          <w:rtl/>
        </w:rPr>
        <w:t>כ''ט</w:t>
      </w:r>
      <w:proofErr w:type="spellEnd"/>
      <w:r w:rsidRPr="00B810A2">
        <w:rPr>
          <w:rFonts w:ascii="Times New Roman" w:eastAsia="Times New Roman" w:hAnsi="Times New Roman" w:cs="David" w:hint="cs"/>
          <w:sz w:val="24"/>
          <w:szCs w:val="24"/>
          <w:rtl/>
        </w:rPr>
        <w:t xml:space="preserve"> בנובמבר והחגיגות ברחבי המדינה</w:t>
      </w:r>
      <w:r w:rsidRPr="00B810A2">
        <w:rPr>
          <w:rFonts w:cs="David" w:hint="cs"/>
          <w:sz w:val="24"/>
          <w:szCs w:val="24"/>
          <w:rtl/>
        </w:rPr>
        <w:t xml:space="preserve">                                                                                 </w:t>
      </w:r>
      <w:r>
        <w:rPr>
          <w:rFonts w:cs="David" w:hint="cs"/>
          <w:sz w:val="24"/>
          <w:szCs w:val="24"/>
          <w:rtl/>
        </w:rPr>
        <w:t xml:space="preserve">                </w:t>
      </w:r>
      <w:r w:rsidRPr="00B810A2">
        <w:rPr>
          <w:rFonts w:cs="David" w:hint="cs"/>
          <w:sz w:val="24"/>
          <w:szCs w:val="24"/>
          <w:rtl/>
        </w:rPr>
        <w:t xml:space="preserve"> </w:t>
      </w:r>
      <w:r w:rsidRPr="00B810A2">
        <w:rPr>
          <w:rFonts w:ascii="Times New Roman" w:eastAsia="Times New Roman" w:hAnsi="Times New Roman" w:cs="David" w:hint="cs"/>
          <w:sz w:val="24"/>
          <w:szCs w:val="24"/>
          <w:rtl/>
        </w:rPr>
        <w:t>ועוד לפני שהמלחמה הגיעה לשיאה .</w:t>
      </w:r>
      <w:r w:rsidRPr="00B810A2">
        <w:rPr>
          <w:rFonts w:cs="David" w:hint="cs"/>
          <w:sz w:val="24"/>
          <w:szCs w:val="24"/>
          <w:rtl/>
        </w:rPr>
        <w:t xml:space="preserve">                                                                                                                    </w:t>
      </w:r>
      <w:r>
        <w:rPr>
          <w:rFonts w:cs="David" w:hint="cs"/>
          <w:sz w:val="24"/>
          <w:szCs w:val="24"/>
          <w:rtl/>
        </w:rPr>
        <w:t xml:space="preserve">                </w:t>
      </w:r>
      <w:r w:rsidRPr="00B810A2">
        <w:rPr>
          <w:rFonts w:cs="David" w:hint="cs"/>
          <w:sz w:val="24"/>
          <w:szCs w:val="24"/>
          <w:rtl/>
        </w:rPr>
        <w:t xml:space="preserve">  </w:t>
      </w:r>
      <w:r w:rsidRPr="00B810A2">
        <w:rPr>
          <w:rFonts w:ascii="Times New Roman" w:eastAsia="Times New Roman" w:hAnsi="Times New Roman" w:cs="David" w:hint="cs"/>
          <w:sz w:val="24"/>
          <w:szCs w:val="24"/>
          <w:rtl/>
        </w:rPr>
        <w:t xml:space="preserve">כל החגיגות הללו תצטרכנה לעמוד למשפט ההיסטוריה. בשיר שקט משונה שלא ברור אם הוא נובע מדומיית המוות או מסיום המלחמה. מעל </w:t>
      </w:r>
      <w:proofErr w:type="spellStart"/>
      <w:r w:rsidRPr="00B810A2">
        <w:rPr>
          <w:rFonts w:ascii="Times New Roman" w:eastAsia="Times New Roman" w:hAnsi="Times New Roman" w:cs="David" w:hint="cs"/>
          <w:sz w:val="24"/>
          <w:szCs w:val="24"/>
          <w:rtl/>
        </w:rPr>
        <w:t>הכל</w:t>
      </w:r>
      <w:proofErr w:type="spellEnd"/>
      <w:r w:rsidRPr="00B810A2">
        <w:rPr>
          <w:rFonts w:ascii="Times New Roman" w:eastAsia="Times New Roman" w:hAnsi="Times New Roman" w:cs="David" w:hint="cs"/>
          <w:sz w:val="24"/>
          <w:szCs w:val="24"/>
          <w:rtl/>
        </w:rPr>
        <w:t xml:space="preserve"> עין שמים אודמת עין בוכה ושופטת.</w:t>
      </w:r>
    </w:p>
    <w:p w:rsidR="000A223E" w:rsidRDefault="000A223E" w:rsidP="00B810A2"/>
    <w:sectPr w:rsidR="000A2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Hebrew)">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A2"/>
    <w:rsid w:val="000A223E"/>
    <w:rsid w:val="00B810A2"/>
    <w:rsid w:val="00BF7AB5"/>
    <w:rsid w:val="00D747FB"/>
    <w:rsid w:val="00E436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94%D7%99%D7%A1%D7%98%D7%95%D7%A8%D7%99%D7%94_%D7%A9%D7%9C_%D7%A4%D7%95%D7%9C%D7%99%D7%9F" TargetMode="External"/><Relationship Id="rId13" Type="http://schemas.openxmlformats.org/officeDocument/2006/relationships/hyperlink" Target="http://he.wikipedia.org/wiki/%D7%AA%D7%9C_%D7%90%D7%91%D7%99%D7%91" TargetMode="External"/><Relationship Id="rId18" Type="http://schemas.openxmlformats.org/officeDocument/2006/relationships/hyperlink" Target="http://he.wikipedia.org/wiki/%D7%94%D7%99%D7%99%D7%A9%D7%95%D7%91_%D7%94%D7%99%D7%94%D7%95%D7%93%D7%99" TargetMode="External"/><Relationship Id="rId3" Type="http://schemas.openxmlformats.org/officeDocument/2006/relationships/settings" Target="settings.xml"/><Relationship Id="rId21" Type="http://schemas.openxmlformats.org/officeDocument/2006/relationships/hyperlink" Target="http://he.wikipedia.org/wiki/1947" TargetMode="External"/><Relationship Id="rId7" Type="http://schemas.openxmlformats.org/officeDocument/2006/relationships/hyperlink" Target="http://he.wikipedia.org/wiki/1970" TargetMode="External"/><Relationship Id="rId12" Type="http://schemas.openxmlformats.org/officeDocument/2006/relationships/hyperlink" Target="http://he.wikipedia.org/wiki/%D7%94%D7%9E%D7%A0%D7%93%D7%98_%D7%94%D7%91%D7%A8%D7%99%D7%98%D7%99" TargetMode="External"/><Relationship Id="rId17" Type="http://schemas.openxmlformats.org/officeDocument/2006/relationships/hyperlink" Target="http://he.wikipedia.org/wiki/1970"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he.wikipedia.org/wiki/%D7%90%D7%92%D7%A8%D7%95%D7%A0%D7%95%D7%9D" TargetMode="External"/><Relationship Id="rId20" Type="http://schemas.openxmlformats.org/officeDocument/2006/relationships/hyperlink" Target="http://he.wikipedia.org/wiki/19_%D7%91%D7%93%D7%A6%D7%9E%D7%91%D7%A8" TargetMode="External"/><Relationship Id="rId1" Type="http://schemas.openxmlformats.org/officeDocument/2006/relationships/styles" Target="styles.xml"/><Relationship Id="rId6" Type="http://schemas.openxmlformats.org/officeDocument/2006/relationships/hyperlink" Target="http://he.wikipedia.org/wiki/1910" TargetMode="External"/><Relationship Id="rId11" Type="http://schemas.openxmlformats.org/officeDocument/2006/relationships/hyperlink" Target="http://he.wikipedia.org/wiki/%D7%94%D7%A2%D7%9C%D7%99%D7%99%D7%94_%D7%94%D7%A8%D7%91%D7%99%D7%A2%D7%99%D7%AA" TargetMode="External"/><Relationship Id="rId24" Type="http://schemas.openxmlformats.org/officeDocument/2006/relationships/fontTable" Target="fontTable.xml"/><Relationship Id="rId5" Type="http://schemas.openxmlformats.org/officeDocument/2006/relationships/hyperlink" Target="http://he.wikipedia.org/wiki/%D7%9E%D7%97%D7%96%D7%90%D7%99" TargetMode="External"/><Relationship Id="rId15" Type="http://schemas.openxmlformats.org/officeDocument/2006/relationships/hyperlink" Target="http://he.wikipedia.org/wiki/%D7%94%D7%A8%D7%A4%D7%95%D7%91%D7%9C%D7%99%D7%A7%D7%94_%D7%94%D7%A9%D7%9C%D7%99%D7%A9%D7%99%D7%AA" TargetMode="External"/><Relationship Id="rId23" Type="http://schemas.openxmlformats.org/officeDocument/2006/relationships/hyperlink" Target="http://he.wikipedia.org/wiki/%D7%99%D7%95%D7%9D_%D7%94%D7%96%D7%99%D7%9B%D7%A8%D7%95%D7%9F_%D7%9C%D7%97%D7%9C%D7%9C%D7%99_%D7%9E%D7%A2%D7%A8%D7%9B%D7%95%D7%AA_%D7%99%D7%A9%D7%A8%D7%90%D7%9C" TargetMode="External"/><Relationship Id="rId10" Type="http://schemas.openxmlformats.org/officeDocument/2006/relationships/hyperlink" Target="http://he.wikipedia.org/w/index.php?title=%D7%94%D7%92%D7%99%D7%9E%D7%A0%D7%A1%D7%99%D7%94_%D7%94%D7%A2%D7%91%D7%A8%D7%99%D7%AA_(%D7%9B%D7%9C%D7%9C%D7%99)&amp;action=edit&amp;redlink=1" TargetMode="External"/><Relationship Id="rId19" Type="http://schemas.openxmlformats.org/officeDocument/2006/relationships/hyperlink" Target="http://he.wikipedia.org/wiki/%D7%A2%D7%A8%D7%91%D7%99%D7%9D" TargetMode="External"/><Relationship Id="rId4" Type="http://schemas.openxmlformats.org/officeDocument/2006/relationships/webSettings" Target="webSettings.xml"/><Relationship Id="rId9" Type="http://schemas.openxmlformats.org/officeDocument/2006/relationships/hyperlink" Target="http://he.wikipedia.org/wiki/%D7%95%D7%A8%D7%A9%D7%94" TargetMode="External"/><Relationship Id="rId14" Type="http://schemas.openxmlformats.org/officeDocument/2006/relationships/hyperlink" Target="http://he.wikipedia.org/wiki/%D7%92%D7%99%D7%9E%D7%A0%D7%A1%D7%99%D7%94_%D7%94%D7%A8%D7%A6%D7%9C%D7%99%D7%94" TargetMode="External"/><Relationship Id="rId22" Type="http://schemas.openxmlformats.org/officeDocument/2006/relationships/hyperlink" Target="http://he.wikipedia.org/wiki/%D7%98%D7%A7%D7%A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1440</Words>
  <Characters>8210</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2015-03-09T05:42:00Z</dcterms:created>
  <dcterms:modified xsi:type="dcterms:W3CDTF">2015-03-09T05:46:00Z</dcterms:modified>
</cp:coreProperties>
</file>